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191743F" w:rsidR="005053AB" w:rsidRPr="00862CFC" w:rsidRDefault="002B3013" w:rsidP="002B301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Diciembre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64059F7" w:rsidR="005053AB" w:rsidRPr="00592A1D" w:rsidRDefault="00E36961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Estructura de Datos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7FAE75D" w:rsidR="005053AB" w:rsidRPr="00592A1D" w:rsidRDefault="00B973DF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ISIC</w:t>
            </w:r>
            <w:proofErr w:type="spellEnd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-2010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73B6434E" w:rsidR="005053AB" w:rsidRPr="00592A1D" w:rsidRDefault="00E36961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AED</w:t>
            </w:r>
            <w:proofErr w:type="spellEnd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-1026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52F39F0" w:rsidR="005053AB" w:rsidRPr="00592A1D" w:rsidRDefault="00B973DF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C8CED9C" w14:textId="71CFF02D" w:rsidR="00592A1D" w:rsidRPr="00592A1D" w:rsidRDefault="00592A1D" w:rsidP="00592A1D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La importancia de la materia radica en que aporta al perfil del egr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esado el conocimiento, la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correcta selección y aplicación de las estructuras de datos 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n la solución de problemas, así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como el determinar la eficiencia de algoritmos que permitan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la selección de los mismos con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el fin de desarrollar soluciones eficientes.</w:t>
            </w:r>
          </w:p>
          <w:p w14:paraId="57DD9DF3" w14:textId="34581673" w:rsidR="005053AB" w:rsidRPr="00592A1D" w:rsidRDefault="00592A1D" w:rsidP="00592A1D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Puesto que para llevar esta materia es indispensable cono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cer la programación orientada a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objetos, esta se encuentra ubicada para ser cur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sada después de las materias de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Fundamentos de Programación y de Programación O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rientada a Objetos, siendo esta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materia pilar fundamental en el análisis, diseño y desarrollo de sistemas de información.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0158A5F9" w:rsidR="005053AB" w:rsidRPr="00862CFC" w:rsidRDefault="00592A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Esta materia está organizada en siete unidades. En ella, se distinguen claramente dos apartados: primero, la implementación de las estructuras de datos lineales y no lineales a través del manejo de memoria estática y dinámica; segundo, el análisis de los métodos de ordenamiento de datos internos para considerar su eficiencia en la aplicación de soluciones computacionales.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68F63AD7" w:rsidR="005053AB" w:rsidRPr="00592A1D" w:rsidRDefault="00592A1D" w:rsidP="00592A1D">
            <w:pPr>
              <w:pStyle w:val="Sinespaciado"/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Identificar, seleccionar y aplicar eficientemente tipos de datos abstractos, métodos de ordenamiento y búsqueda para la optimización del rendimiento de soluciones de problemas del mundo real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185B0" w14:textId="77777777" w:rsidR="00592A1D" w:rsidRPr="00862CFC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9"/>
        <w:gridCol w:w="3405"/>
        <w:gridCol w:w="1987"/>
        <w:gridCol w:w="5775"/>
      </w:tblGrid>
      <w:tr w:rsidR="00592A1D" w:rsidRPr="00862CFC" w14:paraId="72FFBE29" w14:textId="77777777" w:rsidTr="00880656">
        <w:tc>
          <w:tcPr>
            <w:tcW w:w="707" w:type="pct"/>
            <w:vAlign w:val="bottom"/>
          </w:tcPr>
          <w:p w14:paraId="1FC26B9C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309" w:type="pct"/>
            <w:tcBorders>
              <w:bottom w:val="single" w:sz="4" w:space="0" w:color="auto"/>
            </w:tcBorders>
            <w:vAlign w:val="bottom"/>
          </w:tcPr>
          <w:p w14:paraId="00A6FBC5" w14:textId="77777777" w:rsidR="00592A1D" w:rsidRPr="00856CE5" w:rsidRDefault="00592A1D" w:rsidP="00592A1D">
            <w:pPr>
              <w:pStyle w:val="Prrafodelista"/>
              <w:numPr>
                <w:ilvl w:val="0"/>
                <w:numId w:val="16"/>
              </w:numPr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</w:pPr>
            <w:r w:rsidRPr="00856CE5"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>Fundamentos de estructura de datos</w:t>
            </w:r>
          </w:p>
        </w:tc>
        <w:tc>
          <w:tcPr>
            <w:tcW w:w="764" w:type="pct"/>
            <w:vAlign w:val="bottom"/>
          </w:tcPr>
          <w:p w14:paraId="21155B9B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2220" w:type="pct"/>
            <w:tcBorders>
              <w:bottom w:val="single" w:sz="4" w:space="0" w:color="auto"/>
            </w:tcBorders>
            <w:vAlign w:val="bottom"/>
          </w:tcPr>
          <w:p w14:paraId="4B681523" w14:textId="77777777" w:rsidR="00592A1D" w:rsidRPr="00862CFC" w:rsidRDefault="00592A1D" w:rsidP="0088065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6CE5">
              <w:rPr>
                <w:rFonts w:asciiTheme="majorHAnsi" w:hAnsiTheme="majorHAnsi" w:cstheme="majorHAnsi"/>
                <w:sz w:val="18"/>
                <w:szCs w:val="20"/>
              </w:rPr>
              <w:t xml:space="preserve">Identifica las diferentes estructuras de datos, respecto a su implementación 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>en</w:t>
            </w:r>
            <w:r w:rsidRPr="00856CE5">
              <w:rPr>
                <w:rFonts w:asciiTheme="majorHAnsi" w:hAnsiTheme="majorHAnsi" w:cstheme="majorHAnsi"/>
                <w:sz w:val="18"/>
                <w:szCs w:val="20"/>
              </w:rPr>
              <w:t xml:space="preserve"> la solución de problemas.</w:t>
            </w:r>
          </w:p>
        </w:tc>
      </w:tr>
    </w:tbl>
    <w:p w14:paraId="582F165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600"/>
        <w:gridCol w:w="2599"/>
        <w:gridCol w:w="2599"/>
        <w:gridCol w:w="2599"/>
        <w:gridCol w:w="2599"/>
      </w:tblGrid>
      <w:tr w:rsidR="00592A1D" w:rsidRPr="00862CFC" w14:paraId="4EC828B7" w14:textId="77777777" w:rsidTr="00880656">
        <w:tc>
          <w:tcPr>
            <w:tcW w:w="1000" w:type="pct"/>
            <w:shd w:val="clear" w:color="auto" w:fill="F2F2F2" w:themeFill="background1" w:themeFillShade="F2"/>
          </w:tcPr>
          <w:p w14:paraId="2178F3B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Temas y subtemas para desarrollar la competencia específica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82B048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559A6B4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B5D244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F4680C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92A1D" w:rsidRPr="00442032" w14:paraId="211F9002" w14:textId="77777777" w:rsidTr="00880656">
        <w:tc>
          <w:tcPr>
            <w:tcW w:w="1000" w:type="pct"/>
          </w:tcPr>
          <w:p w14:paraId="6FCED237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1.1 Definiciones (pilas, colas, colecciones)</w:t>
            </w:r>
          </w:p>
          <w:p w14:paraId="6C636ABC" w14:textId="77777777" w:rsidR="00592A1D" w:rsidRPr="00442032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1.2 Serialización binaria</w:t>
            </w:r>
          </w:p>
        </w:tc>
        <w:tc>
          <w:tcPr>
            <w:tcW w:w="1000" w:type="pct"/>
          </w:tcPr>
          <w:p w14:paraId="3D0297B9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Consultar los conceptos fundamentales de las estructuras de datos (pilas, colas, colecciones).</w:t>
            </w:r>
          </w:p>
          <w:p w14:paraId="27835D90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Elaborar un cuadro comparativo acerca de las diferencias entre las pilas y colas.</w:t>
            </w:r>
          </w:p>
          <w:p w14:paraId="75A9307B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Consultar la definición de serialización binaria y su aplicación utilizando el lenguaje C#.</w:t>
            </w:r>
          </w:p>
          <w:p w14:paraId="76B5D059" w14:textId="77777777" w:rsidR="00592A1D" w:rsidRPr="00442032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Realizar ejercicios donde se utilice la serialización binaria.</w:t>
            </w:r>
          </w:p>
        </w:tc>
        <w:tc>
          <w:tcPr>
            <w:tcW w:w="1000" w:type="pct"/>
          </w:tcPr>
          <w:p w14:paraId="3806D54D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Explica los conceptos de las estructuras de datos (pilas, colas, colecciones) utilizando ejemplos de la vida cotidiana.</w:t>
            </w:r>
          </w:p>
          <w:p w14:paraId="7931C542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Explica el concepto de serialización binaria y explica ejemplos de su aplicación utilizando el lenguaje C#</w:t>
            </w:r>
          </w:p>
          <w:p w14:paraId="05697076" w14:textId="77777777" w:rsidR="00592A1D" w:rsidRPr="00442032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Diseña ejercicios para aplicar y fortalecer los conocimientos adquiridos en este tema.</w:t>
            </w:r>
          </w:p>
        </w:tc>
        <w:tc>
          <w:tcPr>
            <w:tcW w:w="1000" w:type="pct"/>
          </w:tcPr>
          <w:p w14:paraId="390C1F88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Solución de problemas.</w:t>
            </w:r>
          </w:p>
          <w:p w14:paraId="212274E2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Capacidad crítica y autocrítica.</w:t>
            </w:r>
          </w:p>
          <w:p w14:paraId="41EAB8B9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Capacidad de los conocimientos en la práctica-</w:t>
            </w:r>
          </w:p>
          <w:p w14:paraId="64BD7B01" w14:textId="77777777" w:rsidR="00592A1D" w:rsidRPr="00442032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Capacidad de generar nuevas ideas (creatividad).</w:t>
            </w:r>
          </w:p>
        </w:tc>
        <w:tc>
          <w:tcPr>
            <w:tcW w:w="1000" w:type="pct"/>
          </w:tcPr>
          <w:p w14:paraId="5424C17C" w14:textId="77777777" w:rsidR="00592A1D" w:rsidRPr="00442032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20 horas</w:t>
            </w:r>
          </w:p>
        </w:tc>
      </w:tr>
    </w:tbl>
    <w:p w14:paraId="52E46E06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366"/>
        <w:gridCol w:w="2630"/>
      </w:tblGrid>
      <w:tr w:rsidR="00592A1D" w:rsidRPr="00862CFC" w14:paraId="7ECC1D50" w14:textId="77777777" w:rsidTr="00880656">
        <w:tc>
          <w:tcPr>
            <w:tcW w:w="3988" w:type="pct"/>
            <w:shd w:val="clear" w:color="auto" w:fill="F2F2F2" w:themeFill="background1" w:themeFillShade="F2"/>
          </w:tcPr>
          <w:p w14:paraId="205DB918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46928A3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alor de Indicador </w:t>
            </w:r>
          </w:p>
        </w:tc>
      </w:tr>
      <w:tr w:rsidR="00592A1D" w:rsidRPr="00856CE5" w14:paraId="3A92BABE" w14:textId="77777777" w:rsidTr="00880656">
        <w:tc>
          <w:tcPr>
            <w:tcW w:w="3988" w:type="pct"/>
          </w:tcPr>
          <w:p w14:paraId="778D8A02" w14:textId="77777777" w:rsidR="00592A1D" w:rsidRPr="00856CE5" w:rsidRDefault="00592A1D" w:rsidP="00880656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Conoce los conceptos fundamentales de las estructuras de datos (pilas, colas y colecciones).</w:t>
            </w:r>
          </w:p>
        </w:tc>
        <w:tc>
          <w:tcPr>
            <w:tcW w:w="1012" w:type="pct"/>
          </w:tcPr>
          <w:p w14:paraId="0BF469FD" w14:textId="77777777" w:rsidR="00592A1D" w:rsidRPr="00856CE5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70%</w:t>
            </w:r>
          </w:p>
        </w:tc>
      </w:tr>
      <w:tr w:rsidR="00592A1D" w:rsidRPr="00856CE5" w14:paraId="2E196ADA" w14:textId="77777777" w:rsidTr="00880656">
        <w:trPr>
          <w:trHeight w:val="47"/>
        </w:trPr>
        <w:tc>
          <w:tcPr>
            <w:tcW w:w="3988" w:type="pct"/>
            <w:tcBorders>
              <w:bottom w:val="single" w:sz="4" w:space="0" w:color="auto"/>
            </w:tcBorders>
          </w:tcPr>
          <w:p w14:paraId="2A12EED4" w14:textId="77777777" w:rsidR="00592A1D" w:rsidRPr="00856CE5" w:rsidRDefault="00592A1D" w:rsidP="00880656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Conoce el concepto de serialización.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336112C2" w14:textId="77777777" w:rsidR="00592A1D" w:rsidRPr="00856CE5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30%</w:t>
            </w:r>
          </w:p>
        </w:tc>
      </w:tr>
    </w:tbl>
    <w:p w14:paraId="202506E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785F63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7942E428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6017"/>
        <w:gridCol w:w="2630"/>
      </w:tblGrid>
      <w:tr w:rsidR="00592A1D" w:rsidRPr="00862CFC" w14:paraId="50248E72" w14:textId="77777777" w:rsidTr="00880656">
        <w:tc>
          <w:tcPr>
            <w:tcW w:w="885" w:type="pct"/>
            <w:shd w:val="clear" w:color="auto" w:fill="F2F2F2" w:themeFill="background1" w:themeFillShade="F2"/>
          </w:tcPr>
          <w:p w14:paraId="1637C66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788" w:type="pct"/>
            <w:shd w:val="clear" w:color="auto" w:fill="F2F2F2" w:themeFill="background1" w:themeFillShade="F2"/>
          </w:tcPr>
          <w:p w14:paraId="74C1FD7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2315" w:type="pct"/>
            <w:shd w:val="clear" w:color="auto" w:fill="F2F2F2" w:themeFill="background1" w:themeFillShade="F2"/>
          </w:tcPr>
          <w:p w14:paraId="51254E4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1F385BC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92A1D" w:rsidRPr="00862CFC" w14:paraId="2DCC5BF0" w14:textId="77777777" w:rsidTr="00880656">
        <w:tc>
          <w:tcPr>
            <w:tcW w:w="885" w:type="pct"/>
            <w:vMerge w:val="restart"/>
          </w:tcPr>
          <w:p w14:paraId="2579800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Alcanzada</w:t>
            </w:r>
          </w:p>
        </w:tc>
        <w:tc>
          <w:tcPr>
            <w:tcW w:w="788" w:type="pct"/>
          </w:tcPr>
          <w:p w14:paraId="4130A957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Excelente</w:t>
            </w:r>
          </w:p>
        </w:tc>
        <w:tc>
          <w:tcPr>
            <w:tcW w:w="2315" w:type="pct"/>
          </w:tcPr>
          <w:p w14:paraId="02DD3591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Cumple en su totalidad con las competencias señaladas.</w:t>
            </w:r>
          </w:p>
        </w:tc>
        <w:tc>
          <w:tcPr>
            <w:tcW w:w="1012" w:type="pct"/>
          </w:tcPr>
          <w:p w14:paraId="7B5CAFAC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95-100</w:t>
            </w:r>
          </w:p>
        </w:tc>
      </w:tr>
      <w:tr w:rsidR="00592A1D" w:rsidRPr="00862CFC" w14:paraId="69E93A49" w14:textId="77777777" w:rsidTr="00880656">
        <w:tc>
          <w:tcPr>
            <w:tcW w:w="885" w:type="pct"/>
            <w:vMerge/>
          </w:tcPr>
          <w:p w14:paraId="13EFD9B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7380C91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Notable</w:t>
            </w:r>
          </w:p>
        </w:tc>
        <w:tc>
          <w:tcPr>
            <w:tcW w:w="2315" w:type="pct"/>
          </w:tcPr>
          <w:p w14:paraId="2EAEDE8E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con la totalidad de A y parte de B</w:t>
            </w:r>
          </w:p>
        </w:tc>
        <w:tc>
          <w:tcPr>
            <w:tcW w:w="1012" w:type="pct"/>
          </w:tcPr>
          <w:p w14:paraId="059CC2C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85-94</w:t>
            </w:r>
          </w:p>
        </w:tc>
      </w:tr>
      <w:tr w:rsidR="00592A1D" w:rsidRPr="00862CFC" w14:paraId="42C58850" w14:textId="77777777" w:rsidTr="00880656">
        <w:tc>
          <w:tcPr>
            <w:tcW w:w="885" w:type="pct"/>
            <w:vMerge/>
          </w:tcPr>
          <w:p w14:paraId="336DF53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1C65DC29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Bueno</w:t>
            </w:r>
          </w:p>
        </w:tc>
        <w:tc>
          <w:tcPr>
            <w:tcW w:w="2315" w:type="pct"/>
          </w:tcPr>
          <w:p w14:paraId="0ABBD0D0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62466CB7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75-84</w:t>
            </w:r>
          </w:p>
        </w:tc>
      </w:tr>
      <w:tr w:rsidR="00592A1D" w:rsidRPr="00862CFC" w14:paraId="3F9ABB6F" w14:textId="77777777" w:rsidTr="00880656">
        <w:tc>
          <w:tcPr>
            <w:tcW w:w="885" w:type="pct"/>
            <w:vMerge/>
          </w:tcPr>
          <w:p w14:paraId="2F0B4B1E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5F4D808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Suficiente</w:t>
            </w:r>
          </w:p>
        </w:tc>
        <w:tc>
          <w:tcPr>
            <w:tcW w:w="2315" w:type="pct"/>
          </w:tcPr>
          <w:p w14:paraId="3B47E76C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5085FF2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70-74</w:t>
            </w:r>
          </w:p>
        </w:tc>
      </w:tr>
      <w:tr w:rsidR="00592A1D" w:rsidRPr="00862CFC" w14:paraId="7915651B" w14:textId="77777777" w:rsidTr="00880656">
        <w:tc>
          <w:tcPr>
            <w:tcW w:w="885" w:type="pct"/>
          </w:tcPr>
          <w:p w14:paraId="2E156E9D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No Alcanzada</w:t>
            </w:r>
          </w:p>
        </w:tc>
        <w:tc>
          <w:tcPr>
            <w:tcW w:w="788" w:type="pct"/>
          </w:tcPr>
          <w:p w14:paraId="074135F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Insuficiente</w:t>
            </w:r>
          </w:p>
        </w:tc>
        <w:tc>
          <w:tcPr>
            <w:tcW w:w="2315" w:type="pct"/>
          </w:tcPr>
          <w:p w14:paraId="6BC0B9D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No cumple con los indicadores de alcance definidos</w:t>
            </w:r>
          </w:p>
        </w:tc>
        <w:tc>
          <w:tcPr>
            <w:tcW w:w="1012" w:type="pct"/>
          </w:tcPr>
          <w:p w14:paraId="5BA58CBF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N. A.</w:t>
            </w:r>
          </w:p>
        </w:tc>
      </w:tr>
    </w:tbl>
    <w:p w14:paraId="44D4C85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3215FA62" w14:textId="77777777" w:rsidR="00592A1D" w:rsidRDefault="00592A1D" w:rsidP="00592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033607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1E08670F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43667C45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769"/>
        <w:gridCol w:w="767"/>
        <w:gridCol w:w="769"/>
        <w:gridCol w:w="639"/>
        <w:gridCol w:w="767"/>
        <w:gridCol w:w="1409"/>
        <w:gridCol w:w="4936"/>
      </w:tblGrid>
      <w:tr w:rsidR="00592A1D" w:rsidRPr="00106009" w14:paraId="7DFBAE64" w14:textId="77777777" w:rsidTr="00880656">
        <w:trPr>
          <w:trHeight w:val="29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BA4A6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C4CAAC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A01B59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1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4610B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92A1D" w:rsidRPr="00862CFC" w14:paraId="57AEC03E" w14:textId="77777777" w:rsidTr="00880656">
        <w:trPr>
          <w:trHeight w:val="290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2CD6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AE6FC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AC11D6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3512BD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1CA7E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1976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9AEB1" w14:textId="77777777" w:rsidR="00592A1D" w:rsidRPr="00106009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AFB490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92A1D" w:rsidRPr="00106009" w14:paraId="24FB3419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F2BF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Examen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7CA0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EDE7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805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2B07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D924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2FC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4D46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El examen incluye preguntas sobre conceptos de estructuras de datos, serialización binaria y los pasos para serializar</w:t>
            </w:r>
          </w:p>
        </w:tc>
      </w:tr>
      <w:tr w:rsidR="00592A1D" w:rsidRPr="000A4DE3" w14:paraId="540102FB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695D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 w:rsidRPr="000A4DE3">
              <w:rPr>
                <w:rFonts w:asciiTheme="majorHAnsi" w:hAnsiTheme="majorHAnsi" w:cstheme="majorHAnsi"/>
                <w:sz w:val="18"/>
                <w:szCs w:val="18"/>
              </w:rPr>
              <w:t>Total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FD2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8B4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474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AC22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794C7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7CDF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440A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5DC3EBC" w14:textId="77777777" w:rsidR="00592A1D" w:rsidRPr="00862CFC" w:rsidRDefault="00592A1D" w:rsidP="00592A1D">
      <w:pPr>
        <w:pStyle w:val="Sinespaciado"/>
        <w:ind w:left="708" w:hanging="708"/>
        <w:rPr>
          <w:rFonts w:ascii="Arial" w:hAnsi="Arial" w:cs="Arial"/>
          <w:sz w:val="20"/>
          <w:szCs w:val="20"/>
        </w:rPr>
      </w:pPr>
    </w:p>
    <w:p w14:paraId="2D5F8D30" w14:textId="77777777" w:rsidR="00592A1D" w:rsidRPr="00862CFC" w:rsidRDefault="00592A1D" w:rsidP="00592A1D">
      <w:pPr>
        <w:pStyle w:val="Sinespaciado"/>
        <w:tabs>
          <w:tab w:val="left" w:pos="26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B82A9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5000" w:type="pct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498"/>
        <w:gridCol w:w="6498"/>
      </w:tblGrid>
      <w:tr w:rsidR="00592A1D" w:rsidRPr="00862CFC" w14:paraId="57639370" w14:textId="77777777" w:rsidTr="00880656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4635D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BB32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592A1D" w:rsidRPr="00862CFC" w14:paraId="5F9EFF9B" w14:textId="77777777" w:rsidTr="00880656">
        <w:trPr>
          <w:trHeight w:val="661"/>
        </w:trPr>
        <w:tc>
          <w:tcPr>
            <w:tcW w:w="2500" w:type="pct"/>
            <w:tcBorders>
              <w:top w:val="single" w:sz="4" w:space="0" w:color="auto"/>
            </w:tcBorders>
          </w:tcPr>
          <w:p w14:paraId="221C0E19" w14:textId="77777777" w:rsidR="00592A1D" w:rsidRPr="004D036B" w:rsidRDefault="00592A1D" w:rsidP="00880656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4D036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Jon Skeet, C# in Depth, 3rd Edition. Manning Publications. 2013</w:t>
            </w:r>
          </w:p>
          <w:p w14:paraId="2955A9D4" w14:textId="77777777" w:rsidR="00592A1D" w:rsidRPr="008E7E4B" w:rsidRDefault="00592A1D" w:rsidP="00880656">
            <w:pPr>
              <w:spacing w:after="117" w:line="259" w:lineRule="auto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4D036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Ian </w:t>
            </w:r>
            <w:proofErr w:type="gramStart"/>
            <w:r w:rsidRPr="004D036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Griffiths ,</w:t>
            </w:r>
            <w:proofErr w:type="gramEnd"/>
            <w:r w:rsidRPr="004D036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Programming C# 5.0: Building Windows 8, Web, and Desktop Applications for the .NET 4.5 Framework. O'Reilly Media. 2012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5660EE3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0B86B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096FDC48" w14:textId="77777777" w:rsidR="00592A1D" w:rsidRPr="00D11F84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11F84">
        <w:rPr>
          <w:rFonts w:ascii="Arial" w:hAnsi="Arial" w:cs="Arial"/>
          <w:b/>
          <w:sz w:val="20"/>
          <w:szCs w:val="20"/>
        </w:rPr>
        <w:t>Calendarización de evaluación en semanas:</w:t>
      </w:r>
    </w:p>
    <w:p w14:paraId="23626FEE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1"/>
        <w:gridCol w:w="753"/>
        <w:gridCol w:w="751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42"/>
      </w:tblGrid>
      <w:tr w:rsidR="00592A1D" w:rsidRPr="00862CFC" w14:paraId="43B10430" w14:textId="77777777" w:rsidTr="00880656">
        <w:tc>
          <w:tcPr>
            <w:tcW w:w="364" w:type="pct"/>
            <w:shd w:val="clear" w:color="auto" w:fill="F2F2F2" w:themeFill="background1" w:themeFillShade="F2"/>
          </w:tcPr>
          <w:p w14:paraId="126CB2AA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F0ED5E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27302CC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E3364F3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4B4AC2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23C063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3C652F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A6A1E4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41790D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71D1B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2ADD2A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176736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8354AF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F89FA5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4B54B0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AFD0ACA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6" w:type="pct"/>
            <w:shd w:val="clear" w:color="auto" w:fill="F2F2F2" w:themeFill="background1" w:themeFillShade="F2"/>
          </w:tcPr>
          <w:p w14:paraId="2893A86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92A1D" w:rsidRPr="00CE55A1" w14:paraId="24CA58E5" w14:textId="77777777" w:rsidTr="00880656">
        <w:tc>
          <w:tcPr>
            <w:tcW w:w="364" w:type="pct"/>
          </w:tcPr>
          <w:p w14:paraId="78FA6DD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TP</w:t>
            </w:r>
            <w:proofErr w:type="spellEnd"/>
          </w:p>
        </w:tc>
        <w:tc>
          <w:tcPr>
            <w:tcW w:w="290" w:type="pct"/>
          </w:tcPr>
          <w:p w14:paraId="3A53D699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C6F6F">
              <w:t>ED</w:t>
            </w:r>
            <w:r>
              <w:t>/</w:t>
            </w:r>
            <w:proofErr w:type="spellStart"/>
            <w:r>
              <w:t>EF</w:t>
            </w:r>
            <w:proofErr w:type="spellEnd"/>
          </w:p>
        </w:tc>
        <w:tc>
          <w:tcPr>
            <w:tcW w:w="290" w:type="pct"/>
          </w:tcPr>
          <w:p w14:paraId="3D5C862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>
              <w:t>EF</w:t>
            </w:r>
            <w:proofErr w:type="spellEnd"/>
          </w:p>
        </w:tc>
        <w:tc>
          <w:tcPr>
            <w:tcW w:w="290" w:type="pct"/>
          </w:tcPr>
          <w:p w14:paraId="2194109D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t>ES</w:t>
            </w:r>
          </w:p>
        </w:tc>
        <w:tc>
          <w:tcPr>
            <w:tcW w:w="290" w:type="pct"/>
          </w:tcPr>
          <w:p w14:paraId="484E2D94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A3758B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854198F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D65672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32313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E969E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34717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95E6E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6C3451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C3EE44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3C8CFA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9D36BFE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3EE2FB2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7C337083" w14:textId="77777777" w:rsidTr="00880656">
        <w:tc>
          <w:tcPr>
            <w:tcW w:w="364" w:type="pct"/>
          </w:tcPr>
          <w:p w14:paraId="01C10C7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TR</w:t>
            </w:r>
            <w:proofErr w:type="spellEnd"/>
          </w:p>
        </w:tc>
        <w:tc>
          <w:tcPr>
            <w:tcW w:w="290" w:type="pct"/>
          </w:tcPr>
          <w:p w14:paraId="6608828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6F83751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2EF4B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6F5E9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8D54BF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0F9079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A419E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E82465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6D0B9B7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07179F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C610C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234783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1F5108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188D60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986A39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7D3F307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3657809B" w14:textId="77777777" w:rsidTr="00880656">
        <w:tc>
          <w:tcPr>
            <w:tcW w:w="364" w:type="pct"/>
          </w:tcPr>
          <w:p w14:paraId="5C705AC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SD</w:t>
            </w:r>
          </w:p>
        </w:tc>
        <w:tc>
          <w:tcPr>
            <w:tcW w:w="290" w:type="pct"/>
          </w:tcPr>
          <w:p w14:paraId="5D579AF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4E1270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CA26E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E8106E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F2F615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1D74A8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B5256F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0DFE1C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7E48BA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5CE0D5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E17DE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1A881A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881CE7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6DB527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6F6D2B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55FF18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TP</w:t>
      </w:r>
      <w:proofErr w:type="spellEnd"/>
      <w:r w:rsidRPr="00862CFC">
        <w:rPr>
          <w:rFonts w:ascii="Arial" w:hAnsi="Arial" w:cs="Arial"/>
          <w:sz w:val="20"/>
          <w:szCs w:val="20"/>
        </w:rPr>
        <w:t>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TR</w:t>
      </w:r>
      <w:proofErr w:type="spellEnd"/>
      <w:r w:rsidRPr="00862CFC">
        <w:rPr>
          <w:rFonts w:ascii="Arial" w:hAnsi="Arial" w:cs="Arial"/>
          <w:sz w:val="20"/>
          <w:szCs w:val="20"/>
        </w:rPr>
        <w:t>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01D2E0CB" w:rsidR="00862CFC" w:rsidRPr="00862CFC" w:rsidRDefault="002B3013" w:rsidP="002B301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51F809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A571FF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84A19C7" w:rsidR="00862CFC" w:rsidRPr="00862CFC" w:rsidRDefault="00862CFC" w:rsidP="00B973D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DCBBCDE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Héctor Javier Padilla Lara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000C1A1A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bookmarkEnd w:id="0"/>
    <w:p w14:paraId="546C5934" w14:textId="7B24AA48" w:rsidR="007A22EC" w:rsidRDefault="007A22EC" w:rsidP="00CC7E82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headerReference w:type="default" r:id="rId7"/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7305A" w14:textId="77777777" w:rsidR="00816937" w:rsidRDefault="00816937" w:rsidP="00862CFC">
      <w:pPr>
        <w:spacing w:after="0" w:line="240" w:lineRule="auto"/>
      </w:pPr>
      <w:r>
        <w:separator/>
      </w:r>
    </w:p>
  </w:endnote>
  <w:endnote w:type="continuationSeparator" w:id="0">
    <w:p w14:paraId="5E64636E" w14:textId="77777777" w:rsidR="00816937" w:rsidRDefault="00816937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87924" w14:textId="77777777" w:rsidR="003908F4" w:rsidRPr="00862CFC" w:rsidRDefault="003908F4" w:rsidP="003908F4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  <w:proofErr w:type="spellStart"/>
    <w:r w:rsidRPr="00DE26A7">
      <w:rPr>
        <w:lang w:val="en-US"/>
      </w:rPr>
      <w:t>Rev.</w:t>
    </w:r>
    <w:r w:rsidRPr="00DE26A7">
      <w:rPr>
        <w:b/>
        <w:lang w:val="en-US"/>
      </w:rPr>
      <w:t>3</w:t>
    </w:r>
    <w:proofErr w:type="spellEnd"/>
  </w:p>
  <w:p w14:paraId="1944C12D" w14:textId="77777777" w:rsidR="003908F4" w:rsidRDefault="003908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56E38" w14:textId="77777777" w:rsidR="00816937" w:rsidRDefault="00816937" w:rsidP="00862CFC">
      <w:pPr>
        <w:spacing w:after="0" w:line="240" w:lineRule="auto"/>
      </w:pPr>
      <w:r>
        <w:separator/>
      </w:r>
    </w:p>
  </w:footnote>
  <w:footnote w:type="continuationSeparator" w:id="0">
    <w:p w14:paraId="2EDC8492" w14:textId="77777777" w:rsidR="00816937" w:rsidRDefault="00816937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908F4" w:rsidRPr="00DE26A7" w14:paraId="484306CD" w14:textId="77777777" w:rsidTr="00880656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4081087F" w14:textId="77777777" w:rsidR="003908F4" w:rsidRPr="00DE26A7" w:rsidRDefault="00816937" w:rsidP="003908F4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F9EE9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9264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435021" r:id="rId2"/>
            </w:object>
          </w:r>
        </w:p>
      </w:tc>
      <w:tc>
        <w:tcPr>
          <w:tcW w:w="6470" w:type="dxa"/>
          <w:vMerge w:val="restart"/>
        </w:tcPr>
        <w:p w14:paraId="312FC40F" w14:textId="77777777" w:rsidR="003908F4" w:rsidRPr="00DE26A7" w:rsidRDefault="003908F4" w:rsidP="003908F4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108137B6" w14:textId="77777777" w:rsidR="003908F4" w:rsidRPr="003908F4" w:rsidRDefault="003908F4" w:rsidP="003908F4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3908F4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3908F4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3908F4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908F4" w:rsidRPr="00DE26A7" w14:paraId="79139574" w14:textId="77777777" w:rsidTr="00880656">
      <w:trPr>
        <w:cantSplit/>
        <w:trHeight w:val="311"/>
      </w:trPr>
      <w:tc>
        <w:tcPr>
          <w:tcW w:w="2105" w:type="dxa"/>
          <w:vMerge/>
        </w:tcPr>
        <w:p w14:paraId="4E68BD77" w14:textId="77777777" w:rsidR="003908F4" w:rsidRPr="003908F4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233953A7" w14:textId="77777777" w:rsidR="003908F4" w:rsidRPr="003908F4" w:rsidRDefault="003908F4" w:rsidP="003908F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94AE3D7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908F4" w:rsidRPr="00DE26A7" w14:paraId="5DD642A6" w14:textId="77777777" w:rsidTr="00880656">
      <w:trPr>
        <w:cantSplit/>
        <w:trHeight w:val="205"/>
      </w:trPr>
      <w:tc>
        <w:tcPr>
          <w:tcW w:w="2105" w:type="dxa"/>
          <w:vMerge/>
        </w:tcPr>
        <w:p w14:paraId="7F5987FC" w14:textId="77777777" w:rsidR="003908F4" w:rsidRPr="00DE26A7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28C2D0B3" w14:textId="77777777" w:rsidR="003908F4" w:rsidRPr="00DE26A7" w:rsidRDefault="003908F4" w:rsidP="003908F4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54CD2A22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B3013">
            <w:rPr>
              <w:rFonts w:ascii="Arial" w:hAnsi="Arial" w:cs="Arial"/>
              <w:b/>
              <w:noProof/>
              <w:sz w:val="20"/>
              <w:szCs w:val="20"/>
            </w:rPr>
            <w:t>3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B3013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141C6D9B" w14:textId="77777777" w:rsidR="003908F4" w:rsidRDefault="003908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1184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DB2CF8"/>
    <w:multiLevelType w:val="hybridMultilevel"/>
    <w:tmpl w:val="74D8164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F68D5"/>
    <w:multiLevelType w:val="hybridMultilevel"/>
    <w:tmpl w:val="0696E2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31BC8"/>
    <w:multiLevelType w:val="hybridMultilevel"/>
    <w:tmpl w:val="75E68F1C"/>
    <w:lvl w:ilvl="0" w:tplc="07FA3F6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60D9F"/>
    <w:rsid w:val="001D7549"/>
    <w:rsid w:val="00206F1D"/>
    <w:rsid w:val="00233468"/>
    <w:rsid w:val="00293FBE"/>
    <w:rsid w:val="00296251"/>
    <w:rsid w:val="002B3013"/>
    <w:rsid w:val="00373659"/>
    <w:rsid w:val="003908F4"/>
    <w:rsid w:val="00493A2D"/>
    <w:rsid w:val="004F065B"/>
    <w:rsid w:val="005053AB"/>
    <w:rsid w:val="005367EC"/>
    <w:rsid w:val="00536B92"/>
    <w:rsid w:val="005624BE"/>
    <w:rsid w:val="00592A1D"/>
    <w:rsid w:val="00593663"/>
    <w:rsid w:val="0063032F"/>
    <w:rsid w:val="006D63D2"/>
    <w:rsid w:val="00744965"/>
    <w:rsid w:val="007A22EC"/>
    <w:rsid w:val="007F6120"/>
    <w:rsid w:val="00816937"/>
    <w:rsid w:val="00824F18"/>
    <w:rsid w:val="00862CFC"/>
    <w:rsid w:val="00865C4A"/>
    <w:rsid w:val="008C7776"/>
    <w:rsid w:val="00916E8B"/>
    <w:rsid w:val="009905D5"/>
    <w:rsid w:val="00992C3B"/>
    <w:rsid w:val="009C22BF"/>
    <w:rsid w:val="00A37058"/>
    <w:rsid w:val="00AD3509"/>
    <w:rsid w:val="00AE14E7"/>
    <w:rsid w:val="00B23CAE"/>
    <w:rsid w:val="00B31A95"/>
    <w:rsid w:val="00B973DF"/>
    <w:rsid w:val="00BA5082"/>
    <w:rsid w:val="00BE7924"/>
    <w:rsid w:val="00C127DC"/>
    <w:rsid w:val="00C2069A"/>
    <w:rsid w:val="00CC7E82"/>
    <w:rsid w:val="00DC46A5"/>
    <w:rsid w:val="00DD7D08"/>
    <w:rsid w:val="00DE26A7"/>
    <w:rsid w:val="00E3696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D48A2132-5283-44E7-AB94-8300D29C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B973D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728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Hector Padilla</cp:lastModifiedBy>
  <cp:revision>10</cp:revision>
  <cp:lastPrinted>2016-01-11T15:55:00Z</cp:lastPrinted>
  <dcterms:created xsi:type="dcterms:W3CDTF">2017-01-20T18:56:00Z</dcterms:created>
  <dcterms:modified xsi:type="dcterms:W3CDTF">2018-03-02T00:44:00Z</dcterms:modified>
</cp:coreProperties>
</file>